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76" w:tblpY="560"/>
        <w:tblOverlap w:val="never"/>
        <w:tblW w:w="138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666"/>
        <w:gridCol w:w="1017"/>
        <w:gridCol w:w="6138"/>
        <w:gridCol w:w="896"/>
        <w:gridCol w:w="500"/>
        <w:gridCol w:w="1150"/>
        <w:gridCol w:w="26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61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               邯郸科技职业学院2024年博硕引才岗位需求表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全职/兼职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学历/职称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能力要求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电子信息类、计算机类、云计算和大数据类、材料类、冶金类、医学类、财经类、机械电子工程类、化学化工类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1.事业单位工资待遇+绩效。2.安家费60万元，逐年给付。3.科研启动经费：自然科学类15万元、社会科学类5万元。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模式识别与智能系统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检测技术与自动化装置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 w:bidi="ar"/>
              </w:rPr>
              <w:t>电气工程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动力工程及工程热物理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风能和太阳能系统及工程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大数据技术与工程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大数据与商务分析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网络与信息安全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网络空间安全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网络与信息系统安全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网络安全技术与工程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网络空间安全与保密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材料与化工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材料工程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冶金工程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会计学（财务管理方向）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会计（财务管理方向）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兽医学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临床兽医学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兽医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应用心理学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心理学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应用心理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体育教育训练学（乒乓球方向）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体育教学（乒乓球方向）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全职</w:t>
            </w: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政治学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政治学理论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中共党史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马克思主义理论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马克思主义基本原理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马克思主义中国化研究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思想政治教育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事业单位工资待遇+绩效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/>
    <w:sectPr>
      <w:pgSz w:w="16838" w:h="11906" w:orient="landscape"/>
      <w:pgMar w:top="1689" w:right="1440" w:bottom="1689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ZTQ3M2RhOWQ1NmM4ZmFhMzg1NzU3YTFlOWEzNGMifQ=="/>
  </w:docVars>
  <w:rsids>
    <w:rsidRoot w:val="40C75E1A"/>
    <w:rsid w:val="40C7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2024-04-24T03:20:00Z</dcterms:created>
  <dc:creator>卓越</dc:creator>
  <cp:lastModifiedBy>卓越</cp:lastModifiedBy>
  <dcterms:modified xsi:type="dcterms:W3CDTF">2024-04-24T03:21:25Z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89908A2ED129456B8DFD358FF1FFFDA9_11</vt:lpwstr>
  </property>
</Properties>
</file>